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ADA" w:rsidRDefault="00F05ADA" w:rsidP="00E87D4C">
      <w:pPr>
        <w:spacing w:line="276" w:lineRule="auto"/>
        <w:rPr>
          <w:rFonts w:ascii="Times New Roman" w:hAnsi="Times New Roman" w:cs="Times New Roman"/>
          <w:b/>
          <w:sz w:val="24"/>
          <w:szCs w:val="24"/>
        </w:rPr>
      </w:pPr>
      <w:r>
        <w:rPr>
          <w:rFonts w:ascii="Times New Roman" w:hAnsi="Times New Roman" w:cs="Times New Roman"/>
          <w:b/>
          <w:sz w:val="24"/>
          <w:szCs w:val="24"/>
        </w:rPr>
        <w:t>Pagina: Dieta</w:t>
      </w:r>
    </w:p>
    <w:p w:rsidR="00AD47E1" w:rsidRDefault="00E87D4C" w:rsidP="00E87D4C">
      <w:pPr>
        <w:spacing w:line="276" w:lineRule="auto"/>
        <w:rPr>
          <w:rFonts w:ascii="Times New Roman" w:hAnsi="Times New Roman" w:cs="Times New Roman"/>
          <w:sz w:val="24"/>
          <w:szCs w:val="24"/>
        </w:rPr>
      </w:pPr>
      <w:r>
        <w:rPr>
          <w:rFonts w:ascii="Times New Roman" w:hAnsi="Times New Roman" w:cs="Times New Roman"/>
          <w:b/>
          <w:sz w:val="24"/>
          <w:szCs w:val="24"/>
        </w:rPr>
        <w:t xml:space="preserve">Tytuł: </w:t>
      </w:r>
      <w:r w:rsidRPr="00E87D4C">
        <w:rPr>
          <w:rFonts w:ascii="Times New Roman" w:hAnsi="Times New Roman" w:cs="Times New Roman"/>
          <w:b/>
          <w:sz w:val="24"/>
          <w:szCs w:val="24"/>
        </w:rPr>
        <w:t>Wapń - co musisz o nim wiedzieć</w:t>
      </w:r>
      <w:r w:rsidRPr="00E87D4C">
        <w:rPr>
          <w:rFonts w:ascii="Times New Roman" w:hAnsi="Times New Roman" w:cs="Times New Roman"/>
          <w:sz w:val="24"/>
          <w:szCs w:val="24"/>
        </w:rPr>
        <w:t>?</w:t>
      </w:r>
    </w:p>
    <w:p w:rsidR="00E87D4C" w:rsidRPr="00E87D4C" w:rsidRDefault="00E87D4C" w:rsidP="00E87D4C">
      <w:pPr>
        <w:spacing w:line="276" w:lineRule="auto"/>
        <w:rPr>
          <w:rFonts w:ascii="Times New Roman" w:hAnsi="Times New Roman" w:cs="Times New Roman"/>
          <w:sz w:val="24"/>
          <w:szCs w:val="24"/>
        </w:rPr>
      </w:pPr>
      <w:r w:rsidRPr="00E87D4C">
        <w:rPr>
          <w:rFonts w:ascii="Times New Roman" w:hAnsi="Times New Roman" w:cs="Times New Roman"/>
          <w:b/>
          <w:sz w:val="24"/>
          <w:szCs w:val="24"/>
        </w:rPr>
        <w:t>Tekst:</w:t>
      </w:r>
      <w:r>
        <w:rPr>
          <w:rFonts w:ascii="Times New Roman" w:hAnsi="Times New Roman" w:cs="Times New Roman"/>
          <w:sz w:val="24"/>
          <w:szCs w:val="24"/>
        </w:rPr>
        <w:t xml:space="preserve"> </w:t>
      </w:r>
      <w:r w:rsidR="00AD47E1" w:rsidRPr="00AD47E1">
        <w:rPr>
          <w:rFonts w:ascii="Times New Roman" w:hAnsi="Times New Roman" w:cs="Times New Roman"/>
          <w:b/>
          <w:sz w:val="24"/>
          <w:szCs w:val="24"/>
        </w:rPr>
        <w:t>Cechini Muszyna</w:t>
      </w:r>
    </w:p>
    <w:p w:rsidR="00214D60" w:rsidRDefault="00214D60" w:rsidP="00E87D4C">
      <w:pPr>
        <w:spacing w:line="276" w:lineRule="auto"/>
        <w:rPr>
          <w:rFonts w:ascii="Times New Roman" w:hAnsi="Times New Roman" w:cs="Times New Roman"/>
          <w:sz w:val="24"/>
          <w:szCs w:val="24"/>
        </w:rPr>
      </w:pPr>
      <w:proofErr w:type="spellStart"/>
      <w:r w:rsidRPr="00214D60">
        <w:rPr>
          <w:rFonts w:ascii="Times New Roman" w:hAnsi="Times New Roman" w:cs="Times New Roman"/>
          <w:b/>
          <w:sz w:val="24"/>
          <w:szCs w:val="24"/>
        </w:rPr>
        <w:t>Lead</w:t>
      </w:r>
      <w:proofErr w:type="spellEnd"/>
      <w:r w:rsidRPr="00214D60">
        <w:rPr>
          <w:rFonts w:ascii="Times New Roman" w:hAnsi="Times New Roman" w:cs="Times New Roman"/>
          <w:b/>
          <w:sz w:val="24"/>
          <w:szCs w:val="24"/>
        </w:rPr>
        <w:t>:</w:t>
      </w:r>
      <w:r>
        <w:rPr>
          <w:rFonts w:ascii="Times New Roman" w:hAnsi="Times New Roman" w:cs="Times New Roman"/>
          <w:sz w:val="24"/>
          <w:szCs w:val="24"/>
        </w:rPr>
        <w:t xml:space="preserve"> </w:t>
      </w:r>
      <w:r w:rsidR="00E87D4C" w:rsidRPr="00E87D4C">
        <w:rPr>
          <w:rFonts w:ascii="Times New Roman" w:hAnsi="Times New Roman" w:cs="Times New Roman"/>
          <w:sz w:val="24"/>
          <w:szCs w:val="24"/>
        </w:rPr>
        <w:t xml:space="preserve">Wapń jest niezmiernie ważnym związkiem mineralnym dla naszego organizmu. Odpowiada nie tylko za zdrowe, twarde kości i </w:t>
      </w:r>
      <w:r w:rsidR="0098463A" w:rsidRPr="00E87D4C">
        <w:rPr>
          <w:rFonts w:ascii="Times New Roman" w:hAnsi="Times New Roman" w:cs="Times New Roman"/>
          <w:sz w:val="24"/>
          <w:szCs w:val="24"/>
        </w:rPr>
        <w:t>zęby,</w:t>
      </w:r>
      <w:r w:rsidR="00E87D4C" w:rsidRPr="00E87D4C">
        <w:rPr>
          <w:rFonts w:ascii="Times New Roman" w:hAnsi="Times New Roman" w:cs="Times New Roman"/>
          <w:sz w:val="24"/>
          <w:szCs w:val="24"/>
        </w:rPr>
        <w:t xml:space="preserve"> ale także spełnia dużo ważnych funkcji w szlakach metabolicznych. </w:t>
      </w:r>
      <w:r>
        <w:rPr>
          <w:rFonts w:ascii="Times New Roman" w:hAnsi="Times New Roman" w:cs="Times New Roman"/>
          <w:sz w:val="24"/>
          <w:szCs w:val="24"/>
        </w:rPr>
        <w:t>O jego odpowiedniej ilości w diecie trzeba również pamiętać w kontekście uprawiania sportu.</w:t>
      </w:r>
      <w:bookmarkStart w:id="0" w:name="_GoBack"/>
      <w:bookmarkEnd w:id="0"/>
    </w:p>
    <w:p w:rsidR="00214D60" w:rsidRDefault="00214D60" w:rsidP="00E87D4C">
      <w:pPr>
        <w:spacing w:line="276" w:lineRule="auto"/>
        <w:rPr>
          <w:rFonts w:ascii="Times New Roman" w:hAnsi="Times New Roman" w:cs="Times New Roman"/>
          <w:sz w:val="24"/>
          <w:szCs w:val="24"/>
        </w:rPr>
      </w:pPr>
    </w:p>
    <w:p w:rsidR="00E87D4C" w:rsidRPr="00E87D4C" w:rsidRDefault="00E87D4C" w:rsidP="00E87D4C">
      <w:pPr>
        <w:spacing w:line="276" w:lineRule="auto"/>
        <w:rPr>
          <w:rFonts w:ascii="Times New Roman" w:hAnsi="Times New Roman" w:cs="Times New Roman"/>
          <w:sz w:val="24"/>
          <w:szCs w:val="24"/>
        </w:rPr>
      </w:pPr>
      <w:r w:rsidRPr="00E87D4C">
        <w:rPr>
          <w:rFonts w:ascii="Times New Roman" w:hAnsi="Times New Roman" w:cs="Times New Roman"/>
          <w:sz w:val="24"/>
          <w:szCs w:val="24"/>
        </w:rPr>
        <w:t xml:space="preserve">Jony wapnia biorą udział w skurczu mięśni, pracy i regulacji układu hormonalnego czy nerwowego. Mimo </w:t>
      </w:r>
      <w:r>
        <w:rPr>
          <w:rFonts w:ascii="Times New Roman" w:hAnsi="Times New Roman" w:cs="Times New Roman"/>
          <w:sz w:val="24"/>
          <w:szCs w:val="24"/>
        </w:rPr>
        <w:t>że</w:t>
      </w:r>
      <w:r w:rsidRPr="00E87D4C">
        <w:rPr>
          <w:rFonts w:ascii="Times New Roman" w:hAnsi="Times New Roman" w:cs="Times New Roman"/>
          <w:sz w:val="24"/>
          <w:szCs w:val="24"/>
        </w:rPr>
        <w:t xml:space="preserve"> organizm dysponuje pokaźnymi ilościami tego związku to tylko 1% jest w stanie wolnym i może brać udział w różnych reakcjach</w:t>
      </w:r>
      <w:r w:rsidRPr="00E87D4C">
        <w:rPr>
          <w:rFonts w:ascii="Times New Roman" w:hAnsi="Times New Roman" w:cs="Times New Roman"/>
          <w:sz w:val="24"/>
          <w:szCs w:val="24"/>
          <w:vertAlign w:val="superscript"/>
        </w:rPr>
        <w:t>(1)</w:t>
      </w:r>
      <w:r w:rsidRPr="00E87D4C">
        <w:rPr>
          <w:rFonts w:ascii="Times New Roman" w:hAnsi="Times New Roman" w:cs="Times New Roman"/>
          <w:sz w:val="24"/>
          <w:szCs w:val="24"/>
        </w:rPr>
        <w:t xml:space="preserve">. Jego poziom jest regulowany poprzez parathormon (PTH) wydzielany przez przytarczyce oraz </w:t>
      </w:r>
      <w:proofErr w:type="spellStart"/>
      <w:r w:rsidRPr="00E87D4C">
        <w:rPr>
          <w:rFonts w:ascii="Times New Roman" w:hAnsi="Times New Roman" w:cs="Times New Roman"/>
          <w:sz w:val="24"/>
          <w:szCs w:val="24"/>
        </w:rPr>
        <w:t>kalcytriol</w:t>
      </w:r>
      <w:proofErr w:type="spellEnd"/>
      <w:r w:rsidRPr="00E87D4C">
        <w:rPr>
          <w:rFonts w:ascii="Times New Roman" w:hAnsi="Times New Roman" w:cs="Times New Roman"/>
          <w:sz w:val="24"/>
          <w:szCs w:val="24"/>
        </w:rPr>
        <w:t xml:space="preserve"> (1,25(OH)2D3). Organizm ludzki nie potrafi syntezować wapnia i musi pozyskiwać go z diety. Zalecenia spożycia (RDA) tego związku mineralnego dla dorosłego człowieka plasują się na poziomie 1000 mg na dzień. Zaleca się zwiększenie spożycia do 1200</w:t>
      </w:r>
      <w:r w:rsidR="0098463A">
        <w:rPr>
          <w:rFonts w:ascii="Times New Roman" w:hAnsi="Times New Roman" w:cs="Times New Roman"/>
          <w:sz w:val="24"/>
          <w:szCs w:val="24"/>
        </w:rPr>
        <w:t xml:space="preserve"> </w:t>
      </w:r>
      <w:r w:rsidRPr="00E87D4C">
        <w:rPr>
          <w:rFonts w:ascii="Times New Roman" w:hAnsi="Times New Roman" w:cs="Times New Roman"/>
          <w:sz w:val="24"/>
          <w:szCs w:val="24"/>
        </w:rPr>
        <w:t>mg u kobiet po 51</w:t>
      </w:r>
      <w:r w:rsidR="0098463A">
        <w:rPr>
          <w:rFonts w:ascii="Times New Roman" w:hAnsi="Times New Roman" w:cs="Times New Roman"/>
          <w:sz w:val="24"/>
          <w:szCs w:val="24"/>
        </w:rPr>
        <w:t>.</w:t>
      </w:r>
      <w:r w:rsidRPr="00E87D4C">
        <w:rPr>
          <w:rFonts w:ascii="Times New Roman" w:hAnsi="Times New Roman" w:cs="Times New Roman"/>
          <w:sz w:val="24"/>
          <w:szCs w:val="24"/>
        </w:rPr>
        <w:t xml:space="preserve"> roku życia oraz u mężczyzn po 71</w:t>
      </w:r>
      <w:r w:rsidR="0098463A">
        <w:rPr>
          <w:rFonts w:ascii="Times New Roman" w:hAnsi="Times New Roman" w:cs="Times New Roman"/>
          <w:sz w:val="24"/>
          <w:szCs w:val="24"/>
        </w:rPr>
        <w:t>.</w:t>
      </w:r>
      <w:r w:rsidRPr="0098463A">
        <w:rPr>
          <w:rFonts w:ascii="Times New Roman" w:hAnsi="Times New Roman" w:cs="Times New Roman"/>
          <w:sz w:val="24"/>
          <w:szCs w:val="24"/>
          <w:vertAlign w:val="superscript"/>
        </w:rPr>
        <w:t>(2)</w:t>
      </w:r>
      <w:r w:rsidRPr="00E87D4C">
        <w:rPr>
          <w:rFonts w:ascii="Times New Roman" w:hAnsi="Times New Roman" w:cs="Times New Roman"/>
          <w:sz w:val="24"/>
          <w:szCs w:val="24"/>
        </w:rPr>
        <w:t xml:space="preserve"> Nie jest to dużo. Mimo wszystko, wielu ludzi ma duży problem z wypełnieniem zapotrzebowania</w:t>
      </w:r>
      <w:r w:rsidR="0098463A">
        <w:rPr>
          <w:rFonts w:ascii="Times New Roman" w:hAnsi="Times New Roman" w:cs="Times New Roman"/>
          <w:sz w:val="24"/>
          <w:szCs w:val="24"/>
        </w:rPr>
        <w:t>.</w:t>
      </w:r>
      <w:r w:rsidRPr="0098463A">
        <w:rPr>
          <w:rFonts w:ascii="Times New Roman" w:hAnsi="Times New Roman" w:cs="Times New Roman"/>
          <w:sz w:val="24"/>
          <w:szCs w:val="24"/>
          <w:vertAlign w:val="superscript"/>
        </w:rPr>
        <w:t>(3)</w:t>
      </w:r>
      <w:r w:rsidRPr="00E87D4C">
        <w:rPr>
          <w:rFonts w:ascii="Times New Roman" w:hAnsi="Times New Roman" w:cs="Times New Roman"/>
          <w:sz w:val="24"/>
          <w:szCs w:val="24"/>
        </w:rPr>
        <w:t xml:space="preserve"> Winą można obarczyć niewłaściwie zbilansowaną dietę, jej małą różnorodność oraz niską świadomość społeczeństwa w komponowaniu jadłospisów. W prywatnej praktyce dietetycznej</w:t>
      </w:r>
      <w:r w:rsidR="0098463A">
        <w:rPr>
          <w:rFonts w:ascii="Times New Roman" w:hAnsi="Times New Roman" w:cs="Times New Roman"/>
          <w:sz w:val="24"/>
          <w:szCs w:val="24"/>
        </w:rPr>
        <w:t xml:space="preserve"> można </w:t>
      </w:r>
      <w:r w:rsidRPr="00E87D4C">
        <w:rPr>
          <w:rFonts w:ascii="Times New Roman" w:hAnsi="Times New Roman" w:cs="Times New Roman"/>
          <w:sz w:val="24"/>
          <w:szCs w:val="24"/>
        </w:rPr>
        <w:t>posług</w:t>
      </w:r>
      <w:r w:rsidR="0098463A">
        <w:rPr>
          <w:rFonts w:ascii="Times New Roman" w:hAnsi="Times New Roman" w:cs="Times New Roman"/>
          <w:sz w:val="24"/>
          <w:szCs w:val="24"/>
        </w:rPr>
        <w:t>iwać</w:t>
      </w:r>
      <w:r w:rsidRPr="00E87D4C">
        <w:rPr>
          <w:rFonts w:ascii="Times New Roman" w:hAnsi="Times New Roman" w:cs="Times New Roman"/>
          <w:sz w:val="24"/>
          <w:szCs w:val="24"/>
        </w:rPr>
        <w:t xml:space="preserve"> się programem </w:t>
      </w:r>
      <w:proofErr w:type="spellStart"/>
      <w:r w:rsidRPr="00E87D4C">
        <w:rPr>
          <w:rFonts w:ascii="Times New Roman" w:hAnsi="Times New Roman" w:cs="Times New Roman"/>
          <w:sz w:val="24"/>
          <w:szCs w:val="24"/>
        </w:rPr>
        <w:t>Kcalmar</w:t>
      </w:r>
      <w:proofErr w:type="spellEnd"/>
      <w:r w:rsidRPr="00E87D4C">
        <w:rPr>
          <w:rFonts w:ascii="Times New Roman" w:hAnsi="Times New Roman" w:cs="Times New Roman"/>
          <w:sz w:val="24"/>
          <w:szCs w:val="24"/>
        </w:rPr>
        <w:t xml:space="preserve">, który wyświetlając wartości potraw, pomaga wypełniać zapotrzebowanie na witaminy oraz związki mineralne w planowanych jadłospisach. </w:t>
      </w:r>
      <w:r w:rsidR="0098463A">
        <w:rPr>
          <w:rFonts w:ascii="Times New Roman" w:hAnsi="Times New Roman" w:cs="Times New Roman"/>
          <w:sz w:val="24"/>
          <w:szCs w:val="24"/>
        </w:rPr>
        <w:t>Warto również p</w:t>
      </w:r>
      <w:r w:rsidRPr="00E87D4C">
        <w:rPr>
          <w:rFonts w:ascii="Times New Roman" w:hAnsi="Times New Roman" w:cs="Times New Roman"/>
          <w:sz w:val="24"/>
          <w:szCs w:val="24"/>
        </w:rPr>
        <w:t>amięta</w:t>
      </w:r>
      <w:r w:rsidR="0098463A">
        <w:rPr>
          <w:rFonts w:ascii="Times New Roman" w:hAnsi="Times New Roman" w:cs="Times New Roman"/>
          <w:sz w:val="24"/>
          <w:szCs w:val="24"/>
        </w:rPr>
        <w:t>ć</w:t>
      </w:r>
      <w:r w:rsidRPr="00E87D4C">
        <w:rPr>
          <w:rFonts w:ascii="Times New Roman" w:hAnsi="Times New Roman" w:cs="Times New Roman"/>
          <w:sz w:val="24"/>
          <w:szCs w:val="24"/>
        </w:rPr>
        <w:t xml:space="preserve">, żeby bezpodstawnie nie sięgać po suplementację i poszukiwać składników odżywczych w niskoprzetworzonych produktach pokarmowych. </w:t>
      </w:r>
    </w:p>
    <w:p w:rsidR="00AD47E1" w:rsidRDefault="00E87D4C" w:rsidP="00E87D4C">
      <w:pPr>
        <w:spacing w:line="276" w:lineRule="auto"/>
        <w:rPr>
          <w:rFonts w:ascii="Times New Roman" w:hAnsi="Times New Roman" w:cs="Times New Roman"/>
          <w:sz w:val="24"/>
          <w:szCs w:val="24"/>
        </w:rPr>
      </w:pPr>
      <w:r w:rsidRPr="00E87D4C">
        <w:rPr>
          <w:rFonts w:ascii="Times New Roman" w:hAnsi="Times New Roman" w:cs="Times New Roman"/>
          <w:b/>
          <w:sz w:val="24"/>
          <w:szCs w:val="24"/>
        </w:rPr>
        <w:t>Skutki niedoborów wapnia</w:t>
      </w:r>
    </w:p>
    <w:p w:rsidR="00E87D4C" w:rsidRPr="00E87D4C" w:rsidRDefault="00E87D4C" w:rsidP="00E87D4C">
      <w:pPr>
        <w:spacing w:line="276" w:lineRule="auto"/>
        <w:rPr>
          <w:rFonts w:ascii="Times New Roman" w:hAnsi="Times New Roman" w:cs="Times New Roman"/>
          <w:sz w:val="24"/>
          <w:szCs w:val="24"/>
        </w:rPr>
      </w:pPr>
      <w:r w:rsidRPr="00E87D4C">
        <w:rPr>
          <w:rFonts w:ascii="Times New Roman" w:hAnsi="Times New Roman" w:cs="Times New Roman"/>
          <w:sz w:val="24"/>
          <w:szCs w:val="24"/>
        </w:rPr>
        <w:t>Do najbardziej popularnych konsekwencji niedoborów wapnia zalicza się osteopenię oraz osteoporozę. Wśród dzieci niedobory wapnia mogą zaburzać wzrost. Krótkie niedobory mogą objawiać się skurczami mięśni, zaburzeniami snu czy krzepliwości krwi (np. pojawiające się krwotoki z nosa). Niedostatki wapnia mog</w:t>
      </w:r>
      <w:r w:rsidR="0098463A">
        <w:rPr>
          <w:rFonts w:ascii="Times New Roman" w:hAnsi="Times New Roman" w:cs="Times New Roman"/>
          <w:sz w:val="24"/>
          <w:szCs w:val="24"/>
        </w:rPr>
        <w:t>ą</w:t>
      </w:r>
      <w:r w:rsidRPr="00E87D4C">
        <w:rPr>
          <w:rFonts w:ascii="Times New Roman" w:hAnsi="Times New Roman" w:cs="Times New Roman"/>
          <w:sz w:val="24"/>
          <w:szCs w:val="24"/>
        </w:rPr>
        <w:t xml:space="preserve"> mieć też wpływ na funkcje mózgu i samopoczucie. Przykładem jest </w:t>
      </w:r>
      <w:r w:rsidR="0098463A" w:rsidRPr="00E87D4C">
        <w:rPr>
          <w:rFonts w:ascii="Times New Roman" w:hAnsi="Times New Roman" w:cs="Times New Roman"/>
          <w:sz w:val="24"/>
          <w:szCs w:val="24"/>
        </w:rPr>
        <w:t>PMS,</w:t>
      </w:r>
      <w:r w:rsidRPr="00E87D4C">
        <w:rPr>
          <w:rFonts w:ascii="Times New Roman" w:hAnsi="Times New Roman" w:cs="Times New Roman"/>
          <w:sz w:val="24"/>
          <w:szCs w:val="24"/>
        </w:rPr>
        <w:t xml:space="preserve"> czyli zespół napięcia przedmiesiączkowego, który jest mocno skorelowany z niedoborami wapnia i magnezu</w:t>
      </w:r>
      <w:r w:rsidR="0098463A">
        <w:rPr>
          <w:rFonts w:ascii="Times New Roman" w:hAnsi="Times New Roman" w:cs="Times New Roman"/>
          <w:sz w:val="24"/>
          <w:szCs w:val="24"/>
        </w:rPr>
        <w:t>.</w:t>
      </w:r>
      <w:r w:rsidRPr="0098463A">
        <w:rPr>
          <w:rFonts w:ascii="Times New Roman" w:hAnsi="Times New Roman" w:cs="Times New Roman"/>
          <w:sz w:val="24"/>
          <w:szCs w:val="24"/>
          <w:vertAlign w:val="superscript"/>
        </w:rPr>
        <w:t>(4)</w:t>
      </w:r>
    </w:p>
    <w:p w:rsidR="00E87D4C" w:rsidRPr="00E87D4C" w:rsidRDefault="00E87D4C" w:rsidP="00E87D4C">
      <w:pPr>
        <w:spacing w:line="276" w:lineRule="auto"/>
        <w:rPr>
          <w:rFonts w:ascii="Times New Roman" w:hAnsi="Times New Roman" w:cs="Times New Roman"/>
          <w:sz w:val="24"/>
          <w:szCs w:val="24"/>
        </w:rPr>
      </w:pPr>
    </w:p>
    <w:p w:rsidR="00AD47E1" w:rsidRDefault="00E87D4C" w:rsidP="00E87D4C">
      <w:pPr>
        <w:spacing w:line="276" w:lineRule="auto"/>
        <w:rPr>
          <w:rFonts w:ascii="Times New Roman" w:hAnsi="Times New Roman" w:cs="Times New Roman"/>
          <w:sz w:val="24"/>
          <w:szCs w:val="24"/>
        </w:rPr>
      </w:pPr>
      <w:r w:rsidRPr="00E87D4C">
        <w:rPr>
          <w:rFonts w:ascii="Times New Roman" w:hAnsi="Times New Roman" w:cs="Times New Roman"/>
          <w:b/>
          <w:sz w:val="24"/>
          <w:szCs w:val="24"/>
        </w:rPr>
        <w:t>Źródła wapnia w diecie</w:t>
      </w:r>
    </w:p>
    <w:p w:rsidR="00E87D4C" w:rsidRDefault="00E87D4C" w:rsidP="00E87D4C">
      <w:pPr>
        <w:spacing w:line="276" w:lineRule="auto"/>
        <w:rPr>
          <w:rFonts w:ascii="Times New Roman" w:hAnsi="Times New Roman" w:cs="Times New Roman"/>
          <w:sz w:val="24"/>
          <w:szCs w:val="24"/>
        </w:rPr>
      </w:pPr>
      <w:r w:rsidRPr="00E87D4C">
        <w:rPr>
          <w:rFonts w:ascii="Times New Roman" w:hAnsi="Times New Roman" w:cs="Times New Roman"/>
          <w:sz w:val="24"/>
          <w:szCs w:val="24"/>
        </w:rPr>
        <w:t>Do najbardziej popularny</w:t>
      </w:r>
      <w:r w:rsidR="0098463A">
        <w:rPr>
          <w:rFonts w:ascii="Times New Roman" w:hAnsi="Times New Roman" w:cs="Times New Roman"/>
          <w:sz w:val="24"/>
          <w:szCs w:val="24"/>
        </w:rPr>
        <w:t>ch</w:t>
      </w:r>
      <w:r w:rsidRPr="00E87D4C">
        <w:rPr>
          <w:rFonts w:ascii="Times New Roman" w:hAnsi="Times New Roman" w:cs="Times New Roman"/>
          <w:sz w:val="24"/>
          <w:szCs w:val="24"/>
        </w:rPr>
        <w:t xml:space="preserve"> źródeł wapnia zaliczamy mleko oraz produkty </w:t>
      </w:r>
      <w:proofErr w:type="spellStart"/>
      <w:r w:rsidRPr="00E87D4C">
        <w:rPr>
          <w:rFonts w:ascii="Times New Roman" w:hAnsi="Times New Roman" w:cs="Times New Roman"/>
          <w:sz w:val="24"/>
          <w:szCs w:val="24"/>
        </w:rPr>
        <w:t>mlekopochodne</w:t>
      </w:r>
      <w:proofErr w:type="spellEnd"/>
      <w:r w:rsidRPr="00E87D4C">
        <w:rPr>
          <w:rFonts w:ascii="Times New Roman" w:hAnsi="Times New Roman" w:cs="Times New Roman"/>
          <w:sz w:val="24"/>
          <w:szCs w:val="24"/>
        </w:rPr>
        <w:t>. Stanowią one dobre źródło łatwo przyswajalnego wapnia dla człowieka. Bogactwo związków mineralnych, kultur bakterii w produktach fermentowanych, aminokwasów egzogennych oraz tłuszcz</w:t>
      </w:r>
      <w:r w:rsidR="0098463A">
        <w:rPr>
          <w:rFonts w:ascii="Times New Roman" w:hAnsi="Times New Roman" w:cs="Times New Roman"/>
          <w:sz w:val="24"/>
          <w:szCs w:val="24"/>
        </w:rPr>
        <w:t>ów</w:t>
      </w:r>
      <w:r w:rsidRPr="00E87D4C">
        <w:rPr>
          <w:rFonts w:ascii="Times New Roman" w:hAnsi="Times New Roman" w:cs="Times New Roman"/>
          <w:sz w:val="24"/>
          <w:szCs w:val="24"/>
        </w:rPr>
        <w:t xml:space="preserve"> tworzą produkty mleczne niemalże idealnym pokarmem dla człowieka</w:t>
      </w:r>
      <w:r w:rsidR="0098463A">
        <w:rPr>
          <w:rFonts w:ascii="Times New Roman" w:hAnsi="Times New Roman" w:cs="Times New Roman"/>
          <w:sz w:val="24"/>
          <w:szCs w:val="24"/>
        </w:rPr>
        <w:t>,</w:t>
      </w:r>
      <w:r w:rsidRPr="00E87D4C">
        <w:rPr>
          <w:rFonts w:ascii="Times New Roman" w:hAnsi="Times New Roman" w:cs="Times New Roman"/>
          <w:sz w:val="24"/>
          <w:szCs w:val="24"/>
        </w:rPr>
        <w:t xml:space="preserve"> a na pewno dla większości sportowców</w:t>
      </w:r>
      <w:r w:rsidR="0098463A">
        <w:rPr>
          <w:rFonts w:ascii="Times New Roman" w:hAnsi="Times New Roman" w:cs="Times New Roman"/>
          <w:sz w:val="24"/>
          <w:szCs w:val="24"/>
        </w:rPr>
        <w:t xml:space="preserve">. </w:t>
      </w:r>
      <w:r w:rsidRPr="00E87D4C">
        <w:rPr>
          <w:rFonts w:ascii="Times New Roman" w:hAnsi="Times New Roman" w:cs="Times New Roman"/>
          <w:sz w:val="24"/>
          <w:szCs w:val="24"/>
        </w:rPr>
        <w:t>Białka mleka</w:t>
      </w:r>
      <w:r w:rsidR="0098463A">
        <w:rPr>
          <w:rFonts w:ascii="Times New Roman" w:hAnsi="Times New Roman" w:cs="Times New Roman"/>
          <w:sz w:val="24"/>
          <w:szCs w:val="24"/>
        </w:rPr>
        <w:t>,</w:t>
      </w:r>
      <w:r w:rsidRPr="00E87D4C">
        <w:rPr>
          <w:rFonts w:ascii="Times New Roman" w:hAnsi="Times New Roman" w:cs="Times New Roman"/>
          <w:sz w:val="24"/>
          <w:szCs w:val="24"/>
        </w:rPr>
        <w:t xml:space="preserve"> u niektórych ludzi</w:t>
      </w:r>
      <w:r w:rsidR="0098463A">
        <w:rPr>
          <w:rFonts w:ascii="Times New Roman" w:hAnsi="Times New Roman" w:cs="Times New Roman"/>
          <w:sz w:val="24"/>
          <w:szCs w:val="24"/>
        </w:rPr>
        <w:t>,</w:t>
      </w:r>
      <w:r w:rsidRPr="00E87D4C">
        <w:rPr>
          <w:rFonts w:ascii="Times New Roman" w:hAnsi="Times New Roman" w:cs="Times New Roman"/>
          <w:sz w:val="24"/>
          <w:szCs w:val="24"/>
        </w:rPr>
        <w:t xml:space="preserve"> mogą niestety powodować alergie pokarmowe, a cukier mleczny (laktoza) nietolerancje. Z tych powodów wiele osób rezygnuje z wartościowych produktów mlecznych. Na szczęście źródeł wapnia nie mających </w:t>
      </w:r>
      <w:r w:rsidRPr="00E87D4C">
        <w:rPr>
          <w:rFonts w:ascii="Times New Roman" w:hAnsi="Times New Roman" w:cs="Times New Roman"/>
          <w:sz w:val="24"/>
          <w:szCs w:val="24"/>
        </w:rPr>
        <w:lastRenderedPageBreak/>
        <w:t>nic wspólnego z nabiałem jest więcej. Zaliczamy do nich między innymi: sardynki, fasole, orzechy, nasiona</w:t>
      </w:r>
      <w:r w:rsidR="0098463A">
        <w:rPr>
          <w:rFonts w:ascii="Times New Roman" w:hAnsi="Times New Roman" w:cs="Times New Roman"/>
          <w:sz w:val="24"/>
          <w:szCs w:val="24"/>
        </w:rPr>
        <w:t>,</w:t>
      </w:r>
      <w:r w:rsidRPr="00E87D4C">
        <w:rPr>
          <w:rFonts w:ascii="Times New Roman" w:hAnsi="Times New Roman" w:cs="Times New Roman"/>
          <w:sz w:val="24"/>
          <w:szCs w:val="24"/>
        </w:rPr>
        <w:t xml:space="preserve"> a także wodę mineralną. Ostatnia propozycja wydaje się być idealnym wyborem dla ludzi na różnego rodzaju dietach eliminacyjnych. Co ciekawe, wapń pochodzący z wód mineralnych wykazuje przynajmniej takie same właściwości absorpcji jak mleko. Nie zauważa się też różnic między </w:t>
      </w:r>
      <w:proofErr w:type="spellStart"/>
      <w:r w:rsidRPr="00E87D4C">
        <w:rPr>
          <w:rFonts w:ascii="Times New Roman" w:hAnsi="Times New Roman" w:cs="Times New Roman"/>
          <w:sz w:val="24"/>
          <w:szCs w:val="24"/>
        </w:rPr>
        <w:t>wchłanialnością</w:t>
      </w:r>
      <w:proofErr w:type="spellEnd"/>
      <w:r w:rsidRPr="00E87D4C">
        <w:rPr>
          <w:rFonts w:ascii="Times New Roman" w:hAnsi="Times New Roman" w:cs="Times New Roman"/>
          <w:sz w:val="24"/>
          <w:szCs w:val="24"/>
        </w:rPr>
        <w:t xml:space="preserve"> i wydalaniem z organizmu wapnia z wód mineralnych o różnych stężeniach wodorowęglanów czy siarczanów</w:t>
      </w:r>
      <w:r w:rsidR="0098463A">
        <w:rPr>
          <w:rFonts w:ascii="Times New Roman" w:hAnsi="Times New Roman" w:cs="Times New Roman"/>
          <w:sz w:val="24"/>
          <w:szCs w:val="24"/>
        </w:rPr>
        <w:t>.</w:t>
      </w:r>
      <w:r w:rsidRPr="0098463A">
        <w:rPr>
          <w:rFonts w:ascii="Times New Roman" w:hAnsi="Times New Roman" w:cs="Times New Roman"/>
          <w:sz w:val="24"/>
          <w:szCs w:val="24"/>
          <w:vertAlign w:val="superscript"/>
        </w:rPr>
        <w:t>(5,6,7)</w:t>
      </w:r>
      <w:r w:rsidRPr="00E87D4C">
        <w:rPr>
          <w:rFonts w:ascii="Times New Roman" w:hAnsi="Times New Roman" w:cs="Times New Roman"/>
          <w:sz w:val="24"/>
          <w:szCs w:val="24"/>
        </w:rPr>
        <w:t xml:space="preserve"> Przyjmując zalecenia picia 1 litra wody na każde spożyte 1000 kcal z pożywienia, możemy uzupełnić ponad połowę zalecanego spożycia Ca jedną butelką (1,5</w:t>
      </w:r>
      <w:r w:rsidR="0098463A">
        <w:rPr>
          <w:rFonts w:ascii="Times New Roman" w:hAnsi="Times New Roman" w:cs="Times New Roman"/>
          <w:sz w:val="24"/>
          <w:szCs w:val="24"/>
        </w:rPr>
        <w:t xml:space="preserve"> </w:t>
      </w:r>
      <w:r w:rsidRPr="00E87D4C">
        <w:rPr>
          <w:rFonts w:ascii="Times New Roman" w:hAnsi="Times New Roman" w:cs="Times New Roman"/>
          <w:sz w:val="24"/>
          <w:szCs w:val="24"/>
        </w:rPr>
        <w:t xml:space="preserve">l) </w:t>
      </w:r>
      <w:r w:rsidRPr="0098463A">
        <w:rPr>
          <w:rFonts w:ascii="Times New Roman" w:hAnsi="Times New Roman" w:cs="Times New Roman"/>
          <w:b/>
          <w:sz w:val="24"/>
          <w:szCs w:val="24"/>
        </w:rPr>
        <w:t>Cechini Muszyna</w:t>
      </w:r>
      <w:r w:rsidRPr="00E87D4C">
        <w:rPr>
          <w:rFonts w:ascii="Times New Roman" w:hAnsi="Times New Roman" w:cs="Times New Roman"/>
          <w:sz w:val="24"/>
          <w:szCs w:val="24"/>
        </w:rPr>
        <w:t xml:space="preserve"> (544,57</w:t>
      </w:r>
      <w:r w:rsidR="0098463A">
        <w:rPr>
          <w:rFonts w:ascii="Times New Roman" w:hAnsi="Times New Roman" w:cs="Times New Roman"/>
          <w:sz w:val="24"/>
          <w:szCs w:val="24"/>
        </w:rPr>
        <w:t xml:space="preserve"> </w:t>
      </w:r>
      <w:r w:rsidRPr="00E87D4C">
        <w:rPr>
          <w:rFonts w:ascii="Times New Roman" w:hAnsi="Times New Roman" w:cs="Times New Roman"/>
          <w:sz w:val="24"/>
          <w:szCs w:val="24"/>
        </w:rPr>
        <w:t xml:space="preserve">mg/l). </w:t>
      </w:r>
      <w:r w:rsidRPr="0098463A">
        <w:rPr>
          <w:rFonts w:ascii="Times New Roman" w:hAnsi="Times New Roman" w:cs="Times New Roman"/>
          <w:b/>
          <w:sz w:val="24"/>
          <w:szCs w:val="24"/>
        </w:rPr>
        <w:t>Woda Cechini</w:t>
      </w:r>
      <w:r w:rsidR="0098463A" w:rsidRPr="0098463A">
        <w:rPr>
          <w:rFonts w:ascii="Times New Roman" w:hAnsi="Times New Roman" w:cs="Times New Roman"/>
          <w:b/>
          <w:sz w:val="24"/>
          <w:szCs w:val="24"/>
        </w:rPr>
        <w:t xml:space="preserve"> </w:t>
      </w:r>
      <w:r w:rsidRPr="0098463A">
        <w:rPr>
          <w:rFonts w:ascii="Times New Roman" w:hAnsi="Times New Roman" w:cs="Times New Roman"/>
          <w:b/>
          <w:sz w:val="24"/>
          <w:szCs w:val="24"/>
        </w:rPr>
        <w:t>Muszyna</w:t>
      </w:r>
      <w:r w:rsidRPr="00E87D4C">
        <w:rPr>
          <w:rFonts w:ascii="Times New Roman" w:hAnsi="Times New Roman" w:cs="Times New Roman"/>
          <w:sz w:val="24"/>
          <w:szCs w:val="24"/>
        </w:rPr>
        <w:t xml:space="preserve"> jest też dobrym wyborem dla wszystkich aktywnych fizycznie osób, ze względu na zawartość</w:t>
      </w:r>
      <w:r w:rsidR="0098463A">
        <w:rPr>
          <w:rFonts w:ascii="Times New Roman" w:hAnsi="Times New Roman" w:cs="Times New Roman"/>
          <w:sz w:val="24"/>
          <w:szCs w:val="24"/>
        </w:rPr>
        <w:t xml:space="preserve"> </w:t>
      </w:r>
      <w:r w:rsidRPr="00E87D4C">
        <w:rPr>
          <w:rFonts w:ascii="Times New Roman" w:hAnsi="Times New Roman" w:cs="Times New Roman"/>
          <w:sz w:val="24"/>
          <w:szCs w:val="24"/>
        </w:rPr>
        <w:t>innych związków mineralnych, w tym magnezu.</w:t>
      </w:r>
    </w:p>
    <w:p w:rsidR="00AD47E1" w:rsidRPr="00E87D4C" w:rsidRDefault="00AD47E1" w:rsidP="00E87D4C">
      <w:pPr>
        <w:spacing w:line="276" w:lineRule="auto"/>
        <w:rPr>
          <w:rFonts w:ascii="Times New Roman" w:hAnsi="Times New Roman" w:cs="Times New Roman"/>
          <w:sz w:val="24"/>
          <w:szCs w:val="24"/>
        </w:rPr>
      </w:pPr>
    </w:p>
    <w:p w:rsidR="00AD47E1" w:rsidRDefault="00E87D4C" w:rsidP="00E87D4C">
      <w:pPr>
        <w:spacing w:line="276" w:lineRule="auto"/>
        <w:rPr>
          <w:rFonts w:ascii="Times New Roman" w:hAnsi="Times New Roman" w:cs="Times New Roman"/>
          <w:sz w:val="24"/>
          <w:szCs w:val="24"/>
        </w:rPr>
      </w:pPr>
      <w:r w:rsidRPr="0098463A">
        <w:rPr>
          <w:rFonts w:ascii="Times New Roman" w:hAnsi="Times New Roman" w:cs="Times New Roman"/>
          <w:b/>
          <w:sz w:val="24"/>
          <w:szCs w:val="24"/>
        </w:rPr>
        <w:t>Podsumowanie</w:t>
      </w:r>
    </w:p>
    <w:p w:rsidR="00E87D4C" w:rsidRDefault="00E87D4C" w:rsidP="00E87D4C">
      <w:pPr>
        <w:spacing w:line="276" w:lineRule="auto"/>
        <w:rPr>
          <w:rFonts w:ascii="Times New Roman" w:hAnsi="Times New Roman" w:cs="Times New Roman"/>
          <w:sz w:val="24"/>
          <w:szCs w:val="24"/>
        </w:rPr>
      </w:pPr>
      <w:r w:rsidRPr="00E87D4C">
        <w:rPr>
          <w:rFonts w:ascii="Times New Roman" w:hAnsi="Times New Roman" w:cs="Times New Roman"/>
          <w:sz w:val="24"/>
          <w:szCs w:val="24"/>
        </w:rPr>
        <w:t xml:space="preserve">Mleko i produkty </w:t>
      </w:r>
      <w:proofErr w:type="spellStart"/>
      <w:r w:rsidRPr="00E87D4C">
        <w:rPr>
          <w:rFonts w:ascii="Times New Roman" w:hAnsi="Times New Roman" w:cs="Times New Roman"/>
          <w:sz w:val="24"/>
          <w:szCs w:val="24"/>
        </w:rPr>
        <w:t>mlekopochodne</w:t>
      </w:r>
      <w:proofErr w:type="spellEnd"/>
      <w:r w:rsidRPr="00E87D4C">
        <w:rPr>
          <w:rFonts w:ascii="Times New Roman" w:hAnsi="Times New Roman" w:cs="Times New Roman"/>
          <w:sz w:val="24"/>
          <w:szCs w:val="24"/>
        </w:rPr>
        <w:t xml:space="preserve"> są dobrym źródłem wapnia, jednakże nie są konieczne do utrzymania zaleceń dziennego spożycia Ca. Wody </w:t>
      </w:r>
      <w:proofErr w:type="spellStart"/>
      <w:r w:rsidRPr="00E87D4C">
        <w:rPr>
          <w:rFonts w:ascii="Times New Roman" w:hAnsi="Times New Roman" w:cs="Times New Roman"/>
          <w:sz w:val="24"/>
          <w:szCs w:val="24"/>
        </w:rPr>
        <w:t>wysokozmineralizowane</w:t>
      </w:r>
      <w:proofErr w:type="spellEnd"/>
      <w:r w:rsidRPr="00E87D4C">
        <w:rPr>
          <w:rFonts w:ascii="Times New Roman" w:hAnsi="Times New Roman" w:cs="Times New Roman"/>
          <w:sz w:val="24"/>
          <w:szCs w:val="24"/>
        </w:rPr>
        <w:t xml:space="preserve"> mogą zastąpić nabiał u ludzi na dietach eliminacyjnych, gdyż cechują się przynajmniej takim samym poziomem przyswajalności.</w:t>
      </w:r>
    </w:p>
    <w:p w:rsidR="00AD47E1" w:rsidRPr="00E87D4C" w:rsidRDefault="00AD47E1" w:rsidP="00E87D4C">
      <w:pPr>
        <w:spacing w:line="276" w:lineRule="auto"/>
        <w:rPr>
          <w:rFonts w:ascii="Times New Roman" w:hAnsi="Times New Roman" w:cs="Times New Roman"/>
          <w:sz w:val="24"/>
          <w:szCs w:val="24"/>
        </w:rPr>
      </w:pPr>
    </w:p>
    <w:p w:rsidR="00AD47E1" w:rsidRDefault="00E87D4C" w:rsidP="00E87D4C">
      <w:pPr>
        <w:spacing w:line="276" w:lineRule="auto"/>
        <w:rPr>
          <w:rFonts w:ascii="Times New Roman" w:hAnsi="Times New Roman" w:cs="Times New Roman"/>
          <w:sz w:val="24"/>
          <w:szCs w:val="24"/>
        </w:rPr>
      </w:pPr>
      <w:r w:rsidRPr="00E87D4C">
        <w:rPr>
          <w:rFonts w:ascii="Times New Roman" w:hAnsi="Times New Roman" w:cs="Times New Roman"/>
          <w:b/>
          <w:sz w:val="24"/>
          <w:szCs w:val="24"/>
        </w:rPr>
        <w:t>Tabela produktów bogatych w wapń (w 100</w:t>
      </w:r>
      <w:r w:rsidR="0098463A">
        <w:rPr>
          <w:rFonts w:ascii="Times New Roman" w:hAnsi="Times New Roman" w:cs="Times New Roman"/>
          <w:b/>
          <w:sz w:val="24"/>
          <w:szCs w:val="24"/>
        </w:rPr>
        <w:t xml:space="preserve"> </w:t>
      </w:r>
      <w:r w:rsidRPr="00E87D4C">
        <w:rPr>
          <w:rFonts w:ascii="Times New Roman" w:hAnsi="Times New Roman" w:cs="Times New Roman"/>
          <w:b/>
          <w:sz w:val="24"/>
          <w:szCs w:val="24"/>
        </w:rPr>
        <w:t>g produktu)</w:t>
      </w:r>
      <w:r w:rsidRPr="0098463A">
        <w:rPr>
          <w:rFonts w:ascii="Times New Roman" w:hAnsi="Times New Roman" w:cs="Times New Roman"/>
          <w:sz w:val="24"/>
          <w:szCs w:val="24"/>
          <w:vertAlign w:val="superscript"/>
        </w:rPr>
        <w:t>(8)</w:t>
      </w:r>
    </w:p>
    <w:p w:rsidR="00AD47E1" w:rsidRPr="00AD47E1" w:rsidRDefault="00E87D4C" w:rsidP="00AD47E1">
      <w:pPr>
        <w:pStyle w:val="Akapitzlist"/>
        <w:numPr>
          <w:ilvl w:val="0"/>
          <w:numId w:val="3"/>
        </w:numPr>
        <w:spacing w:line="276" w:lineRule="auto"/>
        <w:rPr>
          <w:rFonts w:ascii="Times New Roman" w:hAnsi="Times New Roman" w:cs="Times New Roman"/>
          <w:sz w:val="24"/>
          <w:szCs w:val="24"/>
        </w:rPr>
      </w:pPr>
      <w:r w:rsidRPr="00AD47E1">
        <w:rPr>
          <w:rFonts w:ascii="Times New Roman" w:hAnsi="Times New Roman" w:cs="Times New Roman"/>
          <w:sz w:val="24"/>
          <w:szCs w:val="24"/>
        </w:rPr>
        <w:t>Ser parmezan</w:t>
      </w:r>
      <w:r w:rsidR="00AD47E1" w:rsidRPr="00AD47E1">
        <w:rPr>
          <w:rFonts w:ascii="Times New Roman" w:hAnsi="Times New Roman" w:cs="Times New Roman"/>
          <w:sz w:val="24"/>
          <w:szCs w:val="24"/>
        </w:rPr>
        <w:t>:</w:t>
      </w:r>
      <w:r w:rsidRPr="00AD47E1">
        <w:rPr>
          <w:rFonts w:ascii="Times New Roman" w:hAnsi="Times New Roman" w:cs="Times New Roman"/>
          <w:sz w:val="24"/>
          <w:szCs w:val="24"/>
        </w:rPr>
        <w:t xml:space="preserve"> 1184 mg</w:t>
      </w:r>
    </w:p>
    <w:p w:rsidR="00AD47E1" w:rsidRPr="00AD47E1" w:rsidRDefault="00AD47E1" w:rsidP="00AD47E1">
      <w:pPr>
        <w:pStyle w:val="Akapitzlist"/>
        <w:numPr>
          <w:ilvl w:val="0"/>
          <w:numId w:val="3"/>
        </w:numPr>
        <w:spacing w:line="276" w:lineRule="auto"/>
        <w:rPr>
          <w:rFonts w:ascii="Times New Roman" w:hAnsi="Times New Roman" w:cs="Times New Roman"/>
          <w:sz w:val="24"/>
          <w:szCs w:val="24"/>
        </w:rPr>
      </w:pPr>
      <w:r w:rsidRPr="00AD47E1">
        <w:rPr>
          <w:rFonts w:ascii="Times New Roman" w:hAnsi="Times New Roman" w:cs="Times New Roman"/>
          <w:sz w:val="24"/>
          <w:szCs w:val="24"/>
        </w:rPr>
        <w:t>Z</w:t>
      </w:r>
      <w:r w:rsidR="00E87D4C" w:rsidRPr="00AD47E1">
        <w:rPr>
          <w:rFonts w:ascii="Times New Roman" w:hAnsi="Times New Roman" w:cs="Times New Roman"/>
          <w:sz w:val="24"/>
          <w:szCs w:val="24"/>
        </w:rPr>
        <w:t>iarno sezamu</w:t>
      </w:r>
      <w:r w:rsidRPr="00AD47E1">
        <w:rPr>
          <w:rFonts w:ascii="Times New Roman" w:hAnsi="Times New Roman" w:cs="Times New Roman"/>
          <w:sz w:val="24"/>
          <w:szCs w:val="24"/>
        </w:rPr>
        <w:t>:</w:t>
      </w:r>
      <w:r w:rsidR="00E87D4C" w:rsidRPr="00AD47E1">
        <w:rPr>
          <w:rFonts w:ascii="Times New Roman" w:hAnsi="Times New Roman" w:cs="Times New Roman"/>
          <w:sz w:val="24"/>
          <w:szCs w:val="24"/>
        </w:rPr>
        <w:t xml:space="preserve"> 975</w:t>
      </w:r>
      <w:r w:rsidR="0098463A" w:rsidRPr="00AD47E1">
        <w:rPr>
          <w:rFonts w:ascii="Times New Roman" w:hAnsi="Times New Roman" w:cs="Times New Roman"/>
          <w:sz w:val="24"/>
          <w:szCs w:val="24"/>
        </w:rPr>
        <w:t xml:space="preserve"> </w:t>
      </w:r>
      <w:r w:rsidR="00E87D4C" w:rsidRPr="00AD47E1">
        <w:rPr>
          <w:rFonts w:ascii="Times New Roman" w:hAnsi="Times New Roman" w:cs="Times New Roman"/>
          <w:sz w:val="24"/>
          <w:szCs w:val="24"/>
        </w:rPr>
        <w:t>mg</w:t>
      </w:r>
    </w:p>
    <w:p w:rsidR="00AD47E1" w:rsidRPr="00AD47E1" w:rsidRDefault="00AD47E1" w:rsidP="00AD47E1">
      <w:pPr>
        <w:pStyle w:val="Akapitzlist"/>
        <w:numPr>
          <w:ilvl w:val="0"/>
          <w:numId w:val="3"/>
        </w:numPr>
        <w:spacing w:line="276" w:lineRule="auto"/>
        <w:rPr>
          <w:rFonts w:ascii="Times New Roman" w:hAnsi="Times New Roman" w:cs="Times New Roman"/>
          <w:sz w:val="24"/>
          <w:szCs w:val="24"/>
        </w:rPr>
      </w:pPr>
      <w:r w:rsidRPr="00AD47E1">
        <w:rPr>
          <w:rFonts w:ascii="Times New Roman" w:hAnsi="Times New Roman" w:cs="Times New Roman"/>
          <w:sz w:val="24"/>
          <w:szCs w:val="24"/>
        </w:rPr>
        <w:t>M</w:t>
      </w:r>
      <w:r w:rsidR="00E87D4C" w:rsidRPr="00AD47E1">
        <w:rPr>
          <w:rFonts w:ascii="Times New Roman" w:hAnsi="Times New Roman" w:cs="Times New Roman"/>
          <w:sz w:val="24"/>
          <w:szCs w:val="24"/>
        </w:rPr>
        <w:t>leko</w:t>
      </w:r>
      <w:r w:rsidRPr="00AD47E1">
        <w:rPr>
          <w:rFonts w:ascii="Times New Roman" w:hAnsi="Times New Roman" w:cs="Times New Roman"/>
          <w:sz w:val="24"/>
          <w:szCs w:val="24"/>
        </w:rPr>
        <w:t>:</w:t>
      </w:r>
      <w:r w:rsidR="00E87D4C" w:rsidRPr="00AD47E1">
        <w:rPr>
          <w:rFonts w:ascii="Times New Roman" w:hAnsi="Times New Roman" w:cs="Times New Roman"/>
          <w:sz w:val="24"/>
          <w:szCs w:val="24"/>
        </w:rPr>
        <w:t xml:space="preserve"> 113</w:t>
      </w:r>
      <w:r w:rsidR="0098463A" w:rsidRPr="00AD47E1">
        <w:rPr>
          <w:rFonts w:ascii="Times New Roman" w:hAnsi="Times New Roman" w:cs="Times New Roman"/>
          <w:sz w:val="24"/>
          <w:szCs w:val="24"/>
        </w:rPr>
        <w:t xml:space="preserve"> </w:t>
      </w:r>
      <w:r w:rsidR="00E87D4C" w:rsidRPr="00AD47E1">
        <w:rPr>
          <w:rFonts w:ascii="Times New Roman" w:hAnsi="Times New Roman" w:cs="Times New Roman"/>
          <w:sz w:val="24"/>
          <w:szCs w:val="24"/>
        </w:rPr>
        <w:t>mg</w:t>
      </w:r>
    </w:p>
    <w:p w:rsidR="00AD47E1" w:rsidRPr="00AD47E1" w:rsidRDefault="00E87D4C" w:rsidP="00AD47E1">
      <w:pPr>
        <w:pStyle w:val="Akapitzlist"/>
        <w:numPr>
          <w:ilvl w:val="0"/>
          <w:numId w:val="3"/>
        </w:numPr>
        <w:spacing w:line="276" w:lineRule="auto"/>
        <w:rPr>
          <w:rFonts w:ascii="Times New Roman" w:hAnsi="Times New Roman" w:cs="Times New Roman"/>
          <w:sz w:val="24"/>
          <w:szCs w:val="24"/>
        </w:rPr>
      </w:pPr>
      <w:r w:rsidRPr="00AD47E1">
        <w:rPr>
          <w:rFonts w:ascii="Times New Roman" w:hAnsi="Times New Roman" w:cs="Times New Roman"/>
          <w:sz w:val="24"/>
          <w:szCs w:val="24"/>
        </w:rPr>
        <w:t>Sardynka</w:t>
      </w:r>
      <w:r w:rsidR="00AD47E1" w:rsidRPr="00AD47E1">
        <w:rPr>
          <w:rFonts w:ascii="Times New Roman" w:hAnsi="Times New Roman" w:cs="Times New Roman"/>
          <w:sz w:val="24"/>
          <w:szCs w:val="24"/>
        </w:rPr>
        <w:t>:</w:t>
      </w:r>
      <w:r w:rsidRPr="00AD47E1">
        <w:rPr>
          <w:rFonts w:ascii="Times New Roman" w:hAnsi="Times New Roman" w:cs="Times New Roman"/>
          <w:sz w:val="24"/>
          <w:szCs w:val="24"/>
        </w:rPr>
        <w:t xml:space="preserve"> 240 mg</w:t>
      </w:r>
    </w:p>
    <w:p w:rsidR="00AD47E1" w:rsidRPr="00AD47E1" w:rsidRDefault="00AD47E1" w:rsidP="00AD47E1">
      <w:pPr>
        <w:pStyle w:val="Akapitzlist"/>
        <w:numPr>
          <w:ilvl w:val="0"/>
          <w:numId w:val="3"/>
        </w:numPr>
        <w:spacing w:line="276" w:lineRule="auto"/>
        <w:rPr>
          <w:rFonts w:ascii="Times New Roman" w:hAnsi="Times New Roman" w:cs="Times New Roman"/>
          <w:sz w:val="24"/>
          <w:szCs w:val="24"/>
        </w:rPr>
      </w:pPr>
      <w:r w:rsidRPr="00AD47E1">
        <w:rPr>
          <w:rFonts w:ascii="Times New Roman" w:hAnsi="Times New Roman" w:cs="Times New Roman"/>
          <w:sz w:val="24"/>
          <w:szCs w:val="24"/>
        </w:rPr>
        <w:t>F</w:t>
      </w:r>
      <w:r w:rsidR="00E87D4C" w:rsidRPr="00AD47E1">
        <w:rPr>
          <w:rFonts w:ascii="Times New Roman" w:hAnsi="Times New Roman" w:cs="Times New Roman"/>
          <w:sz w:val="24"/>
          <w:szCs w:val="24"/>
        </w:rPr>
        <w:t>igi suszone</w:t>
      </w:r>
      <w:r w:rsidRPr="00AD47E1">
        <w:rPr>
          <w:rFonts w:ascii="Times New Roman" w:hAnsi="Times New Roman" w:cs="Times New Roman"/>
          <w:sz w:val="24"/>
          <w:szCs w:val="24"/>
        </w:rPr>
        <w:t>:</w:t>
      </w:r>
      <w:r w:rsidR="00E87D4C" w:rsidRPr="00AD47E1">
        <w:rPr>
          <w:rFonts w:ascii="Times New Roman" w:hAnsi="Times New Roman" w:cs="Times New Roman"/>
          <w:sz w:val="24"/>
          <w:szCs w:val="24"/>
        </w:rPr>
        <w:t xml:space="preserve"> 162 mg</w:t>
      </w:r>
    </w:p>
    <w:p w:rsidR="00AD47E1" w:rsidRPr="00AD47E1" w:rsidRDefault="00E87D4C" w:rsidP="00AD47E1">
      <w:pPr>
        <w:pStyle w:val="Akapitzlist"/>
        <w:numPr>
          <w:ilvl w:val="0"/>
          <w:numId w:val="3"/>
        </w:numPr>
        <w:spacing w:line="276" w:lineRule="auto"/>
        <w:rPr>
          <w:rFonts w:ascii="Times New Roman" w:hAnsi="Times New Roman" w:cs="Times New Roman"/>
          <w:sz w:val="24"/>
          <w:szCs w:val="24"/>
        </w:rPr>
      </w:pPr>
      <w:r w:rsidRPr="00AD47E1">
        <w:rPr>
          <w:rFonts w:ascii="Times New Roman" w:hAnsi="Times New Roman" w:cs="Times New Roman"/>
          <w:sz w:val="24"/>
          <w:szCs w:val="24"/>
        </w:rPr>
        <w:t>Ser twaróg</w:t>
      </w:r>
      <w:r w:rsidR="00AD47E1" w:rsidRPr="00AD47E1">
        <w:rPr>
          <w:rFonts w:ascii="Times New Roman" w:hAnsi="Times New Roman" w:cs="Times New Roman"/>
          <w:sz w:val="24"/>
          <w:szCs w:val="24"/>
        </w:rPr>
        <w:t>:</w:t>
      </w:r>
      <w:r w:rsidRPr="00AD47E1">
        <w:rPr>
          <w:rFonts w:ascii="Times New Roman" w:hAnsi="Times New Roman" w:cs="Times New Roman"/>
          <w:sz w:val="24"/>
          <w:szCs w:val="24"/>
        </w:rPr>
        <w:t xml:space="preserve"> 83 mg</w:t>
      </w:r>
    </w:p>
    <w:p w:rsidR="00AD47E1" w:rsidRPr="00AD47E1" w:rsidRDefault="00AD47E1" w:rsidP="00AD47E1">
      <w:pPr>
        <w:pStyle w:val="Akapitzlist"/>
        <w:numPr>
          <w:ilvl w:val="0"/>
          <w:numId w:val="3"/>
        </w:numPr>
        <w:spacing w:line="276" w:lineRule="auto"/>
        <w:rPr>
          <w:rFonts w:ascii="Times New Roman" w:hAnsi="Times New Roman" w:cs="Times New Roman"/>
          <w:sz w:val="24"/>
          <w:szCs w:val="24"/>
        </w:rPr>
      </w:pPr>
      <w:r w:rsidRPr="00AD47E1">
        <w:rPr>
          <w:rFonts w:ascii="Times New Roman" w:hAnsi="Times New Roman" w:cs="Times New Roman"/>
          <w:sz w:val="24"/>
          <w:szCs w:val="24"/>
        </w:rPr>
        <w:t>B</w:t>
      </w:r>
      <w:r w:rsidR="00E87D4C" w:rsidRPr="00AD47E1">
        <w:rPr>
          <w:rFonts w:ascii="Times New Roman" w:hAnsi="Times New Roman" w:cs="Times New Roman"/>
          <w:sz w:val="24"/>
          <w:szCs w:val="24"/>
        </w:rPr>
        <w:t>rokuły (ugotowane</w:t>
      </w:r>
      <w:r w:rsidRPr="00AD47E1">
        <w:rPr>
          <w:rFonts w:ascii="Times New Roman" w:hAnsi="Times New Roman" w:cs="Times New Roman"/>
          <w:sz w:val="24"/>
          <w:szCs w:val="24"/>
        </w:rPr>
        <w:t xml:space="preserve">): </w:t>
      </w:r>
      <w:r w:rsidR="00E87D4C" w:rsidRPr="00AD47E1">
        <w:rPr>
          <w:rFonts w:ascii="Times New Roman" w:hAnsi="Times New Roman" w:cs="Times New Roman"/>
          <w:sz w:val="24"/>
          <w:szCs w:val="24"/>
        </w:rPr>
        <w:t>40</w:t>
      </w:r>
      <w:r w:rsidRPr="00AD47E1">
        <w:rPr>
          <w:rFonts w:ascii="Times New Roman" w:hAnsi="Times New Roman" w:cs="Times New Roman"/>
          <w:sz w:val="24"/>
          <w:szCs w:val="24"/>
        </w:rPr>
        <w:t xml:space="preserve"> </w:t>
      </w:r>
      <w:r w:rsidR="00E87D4C" w:rsidRPr="00AD47E1">
        <w:rPr>
          <w:rFonts w:ascii="Times New Roman" w:hAnsi="Times New Roman" w:cs="Times New Roman"/>
          <w:sz w:val="24"/>
          <w:szCs w:val="24"/>
        </w:rPr>
        <w:t>mg</w:t>
      </w:r>
    </w:p>
    <w:p w:rsidR="00E87D4C" w:rsidRPr="00AD47E1" w:rsidRDefault="00E87D4C" w:rsidP="00AD47E1">
      <w:pPr>
        <w:pStyle w:val="Akapitzlist"/>
        <w:numPr>
          <w:ilvl w:val="0"/>
          <w:numId w:val="3"/>
        </w:numPr>
        <w:spacing w:line="276" w:lineRule="auto"/>
        <w:rPr>
          <w:rFonts w:ascii="Times New Roman" w:hAnsi="Times New Roman" w:cs="Times New Roman"/>
          <w:sz w:val="24"/>
          <w:szCs w:val="24"/>
        </w:rPr>
      </w:pPr>
      <w:r w:rsidRPr="00AD47E1">
        <w:rPr>
          <w:rFonts w:ascii="Times New Roman" w:hAnsi="Times New Roman" w:cs="Times New Roman"/>
          <w:sz w:val="24"/>
          <w:szCs w:val="24"/>
        </w:rPr>
        <w:t>Woda Cechini Muszyna</w:t>
      </w:r>
      <w:r w:rsidR="00AD47E1" w:rsidRPr="00AD47E1">
        <w:rPr>
          <w:rFonts w:ascii="Times New Roman" w:hAnsi="Times New Roman" w:cs="Times New Roman"/>
          <w:sz w:val="24"/>
          <w:szCs w:val="24"/>
        </w:rPr>
        <w:t xml:space="preserve">: </w:t>
      </w:r>
      <w:r w:rsidRPr="00AD47E1">
        <w:rPr>
          <w:rFonts w:ascii="Times New Roman" w:hAnsi="Times New Roman" w:cs="Times New Roman"/>
          <w:sz w:val="24"/>
          <w:szCs w:val="24"/>
        </w:rPr>
        <w:t>544,57</w:t>
      </w:r>
      <w:r w:rsidR="00AD47E1" w:rsidRPr="00AD47E1">
        <w:rPr>
          <w:rFonts w:ascii="Times New Roman" w:hAnsi="Times New Roman" w:cs="Times New Roman"/>
          <w:sz w:val="24"/>
          <w:szCs w:val="24"/>
        </w:rPr>
        <w:t xml:space="preserve"> </w:t>
      </w:r>
      <w:r w:rsidRPr="00AD47E1">
        <w:rPr>
          <w:rFonts w:ascii="Times New Roman" w:hAnsi="Times New Roman" w:cs="Times New Roman"/>
          <w:sz w:val="24"/>
          <w:szCs w:val="24"/>
        </w:rPr>
        <w:t>mg/l</w:t>
      </w:r>
      <w:r w:rsidRPr="00AD47E1">
        <w:rPr>
          <w:rFonts w:ascii="Times New Roman" w:hAnsi="Times New Roman" w:cs="Times New Roman"/>
          <w:sz w:val="24"/>
          <w:szCs w:val="24"/>
          <w:vertAlign w:val="superscript"/>
        </w:rPr>
        <w:t>(9)</w:t>
      </w:r>
    </w:p>
    <w:p w:rsidR="00AD47E1" w:rsidRPr="00E87D4C" w:rsidRDefault="00AD47E1" w:rsidP="00E87D4C">
      <w:pPr>
        <w:spacing w:line="276" w:lineRule="auto"/>
        <w:rPr>
          <w:rFonts w:ascii="Times New Roman" w:hAnsi="Times New Roman" w:cs="Times New Roman"/>
          <w:sz w:val="24"/>
          <w:szCs w:val="24"/>
        </w:rPr>
      </w:pPr>
    </w:p>
    <w:p w:rsidR="00E87D4C" w:rsidRPr="00E87D4C" w:rsidRDefault="00E87D4C" w:rsidP="00E87D4C">
      <w:pPr>
        <w:spacing w:line="276" w:lineRule="auto"/>
        <w:rPr>
          <w:rFonts w:ascii="Times New Roman" w:hAnsi="Times New Roman" w:cs="Times New Roman"/>
          <w:b/>
          <w:sz w:val="24"/>
          <w:szCs w:val="24"/>
          <w:lang w:val="en-US"/>
        </w:rPr>
      </w:pPr>
      <w:proofErr w:type="spellStart"/>
      <w:r w:rsidRPr="00E87D4C">
        <w:rPr>
          <w:rFonts w:ascii="Times New Roman" w:hAnsi="Times New Roman" w:cs="Times New Roman"/>
          <w:b/>
          <w:sz w:val="24"/>
          <w:szCs w:val="24"/>
          <w:lang w:val="en-US"/>
        </w:rPr>
        <w:t>Bibliografia</w:t>
      </w:r>
      <w:proofErr w:type="spellEnd"/>
      <w:r w:rsidRPr="00E87D4C">
        <w:rPr>
          <w:rFonts w:ascii="Times New Roman" w:hAnsi="Times New Roman" w:cs="Times New Roman"/>
          <w:b/>
          <w:sz w:val="24"/>
          <w:szCs w:val="24"/>
          <w:lang w:val="en-US"/>
        </w:rPr>
        <w:t>:</w:t>
      </w:r>
    </w:p>
    <w:p w:rsidR="00E87D4C" w:rsidRPr="00E87D4C" w:rsidRDefault="00E87D4C" w:rsidP="00E87D4C">
      <w:pPr>
        <w:pStyle w:val="Akapitzlist"/>
        <w:numPr>
          <w:ilvl w:val="0"/>
          <w:numId w:val="2"/>
        </w:numPr>
        <w:spacing w:line="276" w:lineRule="auto"/>
        <w:rPr>
          <w:rFonts w:ascii="Times New Roman" w:hAnsi="Times New Roman" w:cs="Times New Roman"/>
          <w:sz w:val="24"/>
          <w:szCs w:val="24"/>
          <w:lang w:val="en-US"/>
        </w:rPr>
      </w:pPr>
      <w:r w:rsidRPr="00E87D4C">
        <w:rPr>
          <w:rFonts w:ascii="Times New Roman" w:hAnsi="Times New Roman" w:cs="Times New Roman"/>
          <w:sz w:val="24"/>
          <w:szCs w:val="24"/>
          <w:lang w:val="en-US"/>
        </w:rPr>
        <w:t>Committee to Review Dietary Reference Intakes for Vitamin D and Calcium, Food and Nutrition Board, Institute of Medicine. Dietary Reference Intakes for Calcium and Vitamin D. Washington, DC: National Academy Press, 2010.</w:t>
      </w:r>
    </w:p>
    <w:p w:rsidR="00E87D4C" w:rsidRPr="00E87D4C" w:rsidRDefault="00E87D4C" w:rsidP="00E87D4C">
      <w:pPr>
        <w:pStyle w:val="Akapitzlist"/>
        <w:numPr>
          <w:ilvl w:val="0"/>
          <w:numId w:val="2"/>
        </w:numPr>
        <w:spacing w:line="276" w:lineRule="auto"/>
        <w:rPr>
          <w:rFonts w:ascii="Times New Roman" w:hAnsi="Times New Roman" w:cs="Times New Roman"/>
          <w:sz w:val="24"/>
          <w:szCs w:val="24"/>
        </w:rPr>
      </w:pPr>
      <w:r w:rsidRPr="00E87D4C">
        <w:rPr>
          <w:rFonts w:ascii="Times New Roman" w:hAnsi="Times New Roman" w:cs="Times New Roman"/>
          <w:sz w:val="24"/>
          <w:szCs w:val="24"/>
        </w:rPr>
        <w:t>Mirosław Jarosz. 2017. Normy żywienia dla Polski. IŻŻ 2017, ISBN: 978-83-860660-89-4</w:t>
      </w:r>
    </w:p>
    <w:p w:rsidR="00E87D4C" w:rsidRPr="00E87D4C" w:rsidRDefault="00214D60" w:rsidP="00E87D4C">
      <w:pPr>
        <w:pStyle w:val="Akapitzlist"/>
        <w:numPr>
          <w:ilvl w:val="0"/>
          <w:numId w:val="2"/>
        </w:numPr>
        <w:spacing w:line="276" w:lineRule="auto"/>
        <w:rPr>
          <w:rFonts w:ascii="Times New Roman" w:hAnsi="Times New Roman" w:cs="Times New Roman"/>
          <w:sz w:val="24"/>
          <w:szCs w:val="24"/>
        </w:rPr>
      </w:pPr>
      <w:hyperlink r:id="rId5" w:anchor="figure-d1-1" w:history="1">
        <w:r w:rsidR="00E87D4C" w:rsidRPr="00E87D4C">
          <w:rPr>
            <w:rStyle w:val="Hipercze"/>
            <w:rFonts w:ascii="Times New Roman" w:hAnsi="Times New Roman" w:cs="Times New Roman"/>
            <w:sz w:val="24"/>
            <w:szCs w:val="24"/>
          </w:rPr>
          <w:t>https://health.gov/dietaryguidelines/2015-scientific-report/06-chapter-1/d1-11.asp#figure-d1-1</w:t>
        </w:r>
      </w:hyperlink>
    </w:p>
    <w:p w:rsidR="00E87D4C" w:rsidRPr="00E87D4C" w:rsidRDefault="00E87D4C" w:rsidP="00E87D4C">
      <w:pPr>
        <w:pStyle w:val="Akapitzlist"/>
        <w:numPr>
          <w:ilvl w:val="0"/>
          <w:numId w:val="2"/>
        </w:numPr>
        <w:spacing w:line="276" w:lineRule="auto"/>
        <w:rPr>
          <w:rFonts w:ascii="Times New Roman" w:hAnsi="Times New Roman" w:cs="Times New Roman"/>
          <w:sz w:val="24"/>
          <w:szCs w:val="24"/>
        </w:rPr>
      </w:pPr>
      <w:proofErr w:type="spellStart"/>
      <w:r w:rsidRPr="00E87D4C">
        <w:rPr>
          <w:rFonts w:ascii="Times New Roman" w:hAnsi="Times New Roman" w:cs="Times New Roman"/>
          <w:sz w:val="24"/>
          <w:szCs w:val="24"/>
        </w:rPr>
        <w:t>Saeedian</w:t>
      </w:r>
      <w:proofErr w:type="spellEnd"/>
      <w:r w:rsidRPr="00E87D4C">
        <w:rPr>
          <w:rFonts w:ascii="Times New Roman" w:hAnsi="Times New Roman" w:cs="Times New Roman"/>
          <w:sz w:val="24"/>
          <w:szCs w:val="24"/>
        </w:rPr>
        <w:t xml:space="preserve"> Kia A, </w:t>
      </w:r>
      <w:proofErr w:type="spellStart"/>
      <w:r w:rsidRPr="00E87D4C">
        <w:rPr>
          <w:rFonts w:ascii="Times New Roman" w:hAnsi="Times New Roman" w:cs="Times New Roman"/>
          <w:sz w:val="24"/>
          <w:szCs w:val="24"/>
        </w:rPr>
        <w:t>Amani</w:t>
      </w:r>
      <w:proofErr w:type="spellEnd"/>
      <w:r w:rsidRPr="00E87D4C">
        <w:rPr>
          <w:rFonts w:ascii="Times New Roman" w:hAnsi="Times New Roman" w:cs="Times New Roman"/>
          <w:sz w:val="24"/>
          <w:szCs w:val="24"/>
        </w:rPr>
        <w:t xml:space="preserve"> R i </w:t>
      </w:r>
      <w:proofErr w:type="spellStart"/>
      <w:r w:rsidRPr="00E87D4C">
        <w:rPr>
          <w:rFonts w:ascii="Times New Roman" w:hAnsi="Times New Roman" w:cs="Times New Roman"/>
          <w:sz w:val="24"/>
          <w:szCs w:val="24"/>
        </w:rPr>
        <w:t>Cheraghian</w:t>
      </w:r>
      <w:proofErr w:type="spellEnd"/>
      <w:r w:rsidRPr="00E87D4C">
        <w:rPr>
          <w:rFonts w:ascii="Times New Roman" w:hAnsi="Times New Roman" w:cs="Times New Roman"/>
          <w:sz w:val="24"/>
          <w:szCs w:val="24"/>
        </w:rPr>
        <w:t xml:space="preserve"> B. 2015. </w:t>
      </w:r>
      <w:r w:rsidRPr="00E87D4C">
        <w:rPr>
          <w:rFonts w:ascii="Times New Roman" w:hAnsi="Times New Roman" w:cs="Times New Roman"/>
          <w:sz w:val="24"/>
          <w:szCs w:val="24"/>
          <w:lang w:val="en-US"/>
        </w:rPr>
        <w:t xml:space="preserve">The Association between the Risk of Premenstrual Syndrome and Vitamin D, Calcium, and Magnesium Status among University Students: A Case Control Study. </w:t>
      </w:r>
      <w:proofErr w:type="spellStart"/>
      <w:r w:rsidRPr="00E87D4C">
        <w:rPr>
          <w:rFonts w:ascii="Times New Roman" w:hAnsi="Times New Roman" w:cs="Times New Roman"/>
          <w:sz w:val="24"/>
          <w:szCs w:val="24"/>
        </w:rPr>
        <w:t>Health</w:t>
      </w:r>
      <w:proofErr w:type="spellEnd"/>
      <w:r w:rsidRPr="00E87D4C">
        <w:rPr>
          <w:rFonts w:ascii="Times New Roman" w:hAnsi="Times New Roman" w:cs="Times New Roman"/>
          <w:sz w:val="24"/>
          <w:szCs w:val="24"/>
        </w:rPr>
        <w:t xml:space="preserve"> </w:t>
      </w:r>
      <w:proofErr w:type="spellStart"/>
      <w:r w:rsidRPr="00E87D4C">
        <w:rPr>
          <w:rFonts w:ascii="Times New Roman" w:hAnsi="Times New Roman" w:cs="Times New Roman"/>
          <w:sz w:val="24"/>
          <w:szCs w:val="24"/>
        </w:rPr>
        <w:t>Promot</w:t>
      </w:r>
      <w:proofErr w:type="spellEnd"/>
      <w:r w:rsidRPr="00E87D4C">
        <w:rPr>
          <w:rFonts w:ascii="Times New Roman" w:hAnsi="Times New Roman" w:cs="Times New Roman"/>
          <w:sz w:val="24"/>
          <w:szCs w:val="24"/>
        </w:rPr>
        <w:t xml:space="preserve"> </w:t>
      </w:r>
      <w:proofErr w:type="spellStart"/>
      <w:r w:rsidRPr="00E87D4C">
        <w:rPr>
          <w:rFonts w:ascii="Times New Roman" w:hAnsi="Times New Roman" w:cs="Times New Roman"/>
          <w:sz w:val="24"/>
          <w:szCs w:val="24"/>
        </w:rPr>
        <w:t>Perspect</w:t>
      </w:r>
      <w:proofErr w:type="spellEnd"/>
      <w:r w:rsidRPr="00E87D4C">
        <w:rPr>
          <w:rFonts w:ascii="Times New Roman" w:hAnsi="Times New Roman" w:cs="Times New Roman"/>
          <w:sz w:val="24"/>
          <w:szCs w:val="24"/>
        </w:rPr>
        <w:t xml:space="preserve">. </w:t>
      </w:r>
      <w:r w:rsidRPr="00E87D4C">
        <w:rPr>
          <w:rFonts w:ascii="Times New Roman" w:hAnsi="Times New Roman" w:cs="Times New Roman"/>
          <w:sz w:val="24"/>
          <w:szCs w:val="24"/>
          <w:lang w:val="en-US"/>
        </w:rPr>
        <w:t xml:space="preserve">2015 Oct 25;5(3):225-30. </w:t>
      </w:r>
      <w:proofErr w:type="spellStart"/>
      <w:r w:rsidRPr="00E87D4C">
        <w:rPr>
          <w:rFonts w:ascii="Times New Roman" w:hAnsi="Times New Roman" w:cs="Times New Roman"/>
          <w:sz w:val="24"/>
          <w:szCs w:val="24"/>
          <w:lang w:val="en-US"/>
        </w:rPr>
        <w:t>doi</w:t>
      </w:r>
      <w:proofErr w:type="spellEnd"/>
      <w:r w:rsidRPr="00E87D4C">
        <w:rPr>
          <w:rFonts w:ascii="Times New Roman" w:hAnsi="Times New Roman" w:cs="Times New Roman"/>
          <w:sz w:val="24"/>
          <w:szCs w:val="24"/>
          <w:lang w:val="en-US"/>
        </w:rPr>
        <w:t>: 10.15171/hpp.2015.027.</w:t>
      </w:r>
    </w:p>
    <w:p w:rsidR="00E87D4C" w:rsidRPr="00E87D4C" w:rsidRDefault="00E87D4C" w:rsidP="00E87D4C">
      <w:pPr>
        <w:pStyle w:val="Akapitzlist"/>
        <w:numPr>
          <w:ilvl w:val="0"/>
          <w:numId w:val="2"/>
        </w:numPr>
        <w:spacing w:line="276" w:lineRule="auto"/>
        <w:rPr>
          <w:rFonts w:ascii="Times New Roman" w:hAnsi="Times New Roman" w:cs="Times New Roman"/>
          <w:sz w:val="24"/>
          <w:szCs w:val="24"/>
        </w:rPr>
      </w:pPr>
      <w:r w:rsidRPr="00E87D4C">
        <w:rPr>
          <w:rFonts w:ascii="Times New Roman" w:hAnsi="Times New Roman" w:cs="Times New Roman"/>
          <w:sz w:val="24"/>
          <w:szCs w:val="24"/>
          <w:lang w:val="en-US"/>
        </w:rPr>
        <w:lastRenderedPageBreak/>
        <w:t xml:space="preserve">Halpern GM1, Van de Water J, </w:t>
      </w:r>
      <w:proofErr w:type="spellStart"/>
      <w:r w:rsidRPr="00E87D4C">
        <w:rPr>
          <w:rFonts w:ascii="Times New Roman" w:hAnsi="Times New Roman" w:cs="Times New Roman"/>
          <w:sz w:val="24"/>
          <w:szCs w:val="24"/>
          <w:lang w:val="en-US"/>
        </w:rPr>
        <w:t>Delabroise</w:t>
      </w:r>
      <w:proofErr w:type="spellEnd"/>
      <w:r w:rsidRPr="00E87D4C">
        <w:rPr>
          <w:rFonts w:ascii="Times New Roman" w:hAnsi="Times New Roman" w:cs="Times New Roman"/>
          <w:sz w:val="24"/>
          <w:szCs w:val="24"/>
          <w:lang w:val="en-US"/>
        </w:rPr>
        <w:t xml:space="preserve"> AM, Keen CL, Gershwin ME. Comparative uptake of calcium from milk and a calcium-rich mineral water in lactose intolerant adults: implications for treatment of osteoporosis. </w:t>
      </w:r>
      <w:r w:rsidRPr="00E87D4C">
        <w:rPr>
          <w:rFonts w:ascii="Times New Roman" w:hAnsi="Times New Roman" w:cs="Times New Roman"/>
          <w:sz w:val="24"/>
          <w:szCs w:val="24"/>
        </w:rPr>
        <w:t xml:space="preserve">Am J </w:t>
      </w:r>
      <w:proofErr w:type="spellStart"/>
      <w:r w:rsidRPr="00E87D4C">
        <w:rPr>
          <w:rFonts w:ascii="Times New Roman" w:hAnsi="Times New Roman" w:cs="Times New Roman"/>
          <w:sz w:val="24"/>
          <w:szCs w:val="24"/>
        </w:rPr>
        <w:t>Prev</w:t>
      </w:r>
      <w:proofErr w:type="spellEnd"/>
      <w:r w:rsidRPr="00E87D4C">
        <w:rPr>
          <w:rFonts w:ascii="Times New Roman" w:hAnsi="Times New Roman" w:cs="Times New Roman"/>
          <w:sz w:val="24"/>
          <w:szCs w:val="24"/>
        </w:rPr>
        <w:t xml:space="preserve"> Med. 1991 Nov-Dec;7(6):379-83.</w:t>
      </w:r>
    </w:p>
    <w:p w:rsidR="00E87D4C" w:rsidRPr="00E87D4C" w:rsidRDefault="00E87D4C" w:rsidP="00E87D4C">
      <w:pPr>
        <w:pStyle w:val="Akapitzlist"/>
        <w:numPr>
          <w:ilvl w:val="0"/>
          <w:numId w:val="2"/>
        </w:numPr>
        <w:spacing w:line="276" w:lineRule="auto"/>
        <w:rPr>
          <w:rFonts w:ascii="Times New Roman" w:hAnsi="Times New Roman" w:cs="Times New Roman"/>
          <w:sz w:val="24"/>
          <w:szCs w:val="24"/>
        </w:rPr>
      </w:pPr>
      <w:proofErr w:type="spellStart"/>
      <w:r w:rsidRPr="00E87D4C">
        <w:rPr>
          <w:rFonts w:ascii="Times New Roman" w:hAnsi="Times New Roman" w:cs="Times New Roman"/>
          <w:sz w:val="24"/>
          <w:szCs w:val="24"/>
          <w:lang w:val="en-US"/>
        </w:rPr>
        <w:t>Greupner</w:t>
      </w:r>
      <w:proofErr w:type="spellEnd"/>
      <w:r w:rsidRPr="00E87D4C">
        <w:rPr>
          <w:rFonts w:ascii="Times New Roman" w:hAnsi="Times New Roman" w:cs="Times New Roman"/>
          <w:sz w:val="24"/>
          <w:szCs w:val="24"/>
          <w:lang w:val="en-US"/>
        </w:rPr>
        <w:t xml:space="preserve"> T, Schneider I, Hahn A. 2017. Calcium Bioavailability from Mineral Waters with Different Mineralization in Comparison to Milk and a Supplement. J Am Coll </w:t>
      </w:r>
      <w:proofErr w:type="spellStart"/>
      <w:r w:rsidRPr="00E87D4C">
        <w:rPr>
          <w:rFonts w:ascii="Times New Roman" w:hAnsi="Times New Roman" w:cs="Times New Roman"/>
          <w:sz w:val="24"/>
          <w:szCs w:val="24"/>
          <w:lang w:val="en-US"/>
        </w:rPr>
        <w:t>Nutr</w:t>
      </w:r>
      <w:proofErr w:type="spellEnd"/>
      <w:r w:rsidRPr="00E87D4C">
        <w:rPr>
          <w:rFonts w:ascii="Times New Roman" w:hAnsi="Times New Roman" w:cs="Times New Roman"/>
          <w:sz w:val="24"/>
          <w:szCs w:val="24"/>
          <w:lang w:val="en-US"/>
        </w:rPr>
        <w:t>. 2017 Jul;36(5):386-390.</w:t>
      </w:r>
    </w:p>
    <w:p w:rsidR="00E87D4C" w:rsidRPr="00E87D4C" w:rsidRDefault="00E87D4C" w:rsidP="00E87D4C">
      <w:pPr>
        <w:pStyle w:val="Akapitzlist"/>
        <w:numPr>
          <w:ilvl w:val="0"/>
          <w:numId w:val="2"/>
        </w:numPr>
        <w:spacing w:line="276" w:lineRule="auto"/>
        <w:rPr>
          <w:rFonts w:ascii="Times New Roman" w:hAnsi="Times New Roman" w:cs="Times New Roman"/>
          <w:sz w:val="24"/>
          <w:szCs w:val="24"/>
          <w:lang w:val="en-US"/>
        </w:rPr>
      </w:pPr>
      <w:proofErr w:type="spellStart"/>
      <w:r w:rsidRPr="00E87D4C">
        <w:rPr>
          <w:rFonts w:ascii="Times New Roman" w:hAnsi="Times New Roman" w:cs="Times New Roman"/>
          <w:sz w:val="24"/>
          <w:szCs w:val="24"/>
          <w:lang w:val="en-US"/>
        </w:rPr>
        <w:t>Bacciottini</w:t>
      </w:r>
      <w:proofErr w:type="spellEnd"/>
      <w:r w:rsidRPr="00E87D4C">
        <w:rPr>
          <w:rFonts w:ascii="Times New Roman" w:hAnsi="Times New Roman" w:cs="Times New Roman"/>
          <w:sz w:val="24"/>
          <w:szCs w:val="24"/>
          <w:lang w:val="en-US"/>
        </w:rPr>
        <w:t xml:space="preserve"> L i </w:t>
      </w:r>
      <w:proofErr w:type="spellStart"/>
      <w:r w:rsidRPr="00E87D4C">
        <w:rPr>
          <w:rFonts w:ascii="Times New Roman" w:hAnsi="Times New Roman" w:cs="Times New Roman"/>
          <w:sz w:val="24"/>
          <w:szCs w:val="24"/>
          <w:lang w:val="en-US"/>
        </w:rPr>
        <w:t>inni.Calcium</w:t>
      </w:r>
      <w:proofErr w:type="spellEnd"/>
      <w:r w:rsidRPr="00E87D4C">
        <w:rPr>
          <w:rFonts w:ascii="Times New Roman" w:hAnsi="Times New Roman" w:cs="Times New Roman"/>
          <w:sz w:val="24"/>
          <w:szCs w:val="24"/>
          <w:lang w:val="en-US"/>
        </w:rPr>
        <w:t xml:space="preserve"> bioavailability from a calcium-rich mineral water, with some observations on method.</w:t>
      </w:r>
    </w:p>
    <w:p w:rsidR="00E87D4C" w:rsidRPr="00E87D4C" w:rsidRDefault="00214D60" w:rsidP="00E87D4C">
      <w:pPr>
        <w:pStyle w:val="Akapitzlist"/>
        <w:numPr>
          <w:ilvl w:val="0"/>
          <w:numId w:val="2"/>
        </w:numPr>
        <w:spacing w:line="276" w:lineRule="auto"/>
        <w:rPr>
          <w:rFonts w:ascii="Times New Roman" w:hAnsi="Times New Roman" w:cs="Times New Roman"/>
          <w:sz w:val="24"/>
          <w:szCs w:val="24"/>
          <w:lang w:val="en-US"/>
        </w:rPr>
      </w:pPr>
      <w:hyperlink r:id="rId6" w:history="1">
        <w:r w:rsidR="00E87D4C" w:rsidRPr="00E87D4C">
          <w:rPr>
            <w:rStyle w:val="Hipercze"/>
            <w:rFonts w:ascii="Times New Roman" w:hAnsi="Times New Roman" w:cs="Times New Roman"/>
            <w:sz w:val="24"/>
            <w:szCs w:val="24"/>
            <w:lang w:val="en-US"/>
          </w:rPr>
          <w:t>http://nutritiondata.self.com/</w:t>
        </w:r>
      </w:hyperlink>
    </w:p>
    <w:p w:rsidR="00CA3BEA" w:rsidRPr="00E87D4C" w:rsidRDefault="00214D60" w:rsidP="00E87D4C">
      <w:pPr>
        <w:pStyle w:val="Akapitzlist"/>
        <w:numPr>
          <w:ilvl w:val="0"/>
          <w:numId w:val="2"/>
        </w:numPr>
        <w:spacing w:line="276" w:lineRule="auto"/>
        <w:rPr>
          <w:rFonts w:ascii="Times New Roman" w:hAnsi="Times New Roman" w:cs="Times New Roman"/>
          <w:sz w:val="24"/>
          <w:szCs w:val="24"/>
          <w:lang w:val="en-US"/>
        </w:rPr>
      </w:pPr>
      <w:hyperlink r:id="rId7" w:history="1">
        <w:r w:rsidR="00E87D4C" w:rsidRPr="00E87D4C">
          <w:rPr>
            <w:rStyle w:val="Hipercze"/>
            <w:rFonts w:ascii="Times New Roman" w:hAnsi="Times New Roman" w:cs="Times New Roman"/>
            <w:sz w:val="24"/>
            <w:szCs w:val="24"/>
            <w:lang w:val="en-US"/>
          </w:rPr>
          <w:t>http://www.cechini-muszyna.pl/zrodla.html</w:t>
        </w:r>
      </w:hyperlink>
    </w:p>
    <w:p w:rsidR="00E87D4C" w:rsidRPr="00E87D4C" w:rsidRDefault="00E87D4C" w:rsidP="00E87D4C">
      <w:pPr>
        <w:pStyle w:val="Akapitzlist"/>
        <w:spacing w:line="276" w:lineRule="auto"/>
        <w:rPr>
          <w:rFonts w:ascii="Times New Roman" w:hAnsi="Times New Roman" w:cs="Times New Roman"/>
          <w:sz w:val="24"/>
          <w:szCs w:val="24"/>
          <w:lang w:val="en-US"/>
        </w:rPr>
      </w:pPr>
    </w:p>
    <w:sectPr w:rsidR="00E87D4C" w:rsidRPr="00E87D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Light">
    <w:altName w:val="Arial"/>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05EC3"/>
    <w:multiLevelType w:val="hybridMultilevel"/>
    <w:tmpl w:val="42367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AA18B1"/>
    <w:multiLevelType w:val="hybridMultilevel"/>
    <w:tmpl w:val="BE7AD1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A90DE9"/>
    <w:multiLevelType w:val="hybridMultilevel"/>
    <w:tmpl w:val="ADEE15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4C"/>
    <w:rsid w:val="00214D60"/>
    <w:rsid w:val="004A6CC5"/>
    <w:rsid w:val="007B16F6"/>
    <w:rsid w:val="0098463A"/>
    <w:rsid w:val="00AD47E1"/>
    <w:rsid w:val="00C02B68"/>
    <w:rsid w:val="00E87D4C"/>
    <w:rsid w:val="00F05A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48EE"/>
  <w15:chartTrackingRefBased/>
  <w15:docId w15:val="{6764B196-C6B9-474B-BC2B-0252D45C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rsid w:val="00E87D4C"/>
    <w:rPr>
      <w:rFonts w:ascii="Helvetica-Light" w:hAnsi="Helvetica-Light" w:hint="default"/>
      <w:b w:val="0"/>
      <w:bCs w:val="0"/>
      <w:i w:val="0"/>
      <w:iCs w:val="0"/>
      <w:color w:val="000000"/>
      <w:sz w:val="36"/>
      <w:szCs w:val="36"/>
    </w:rPr>
  </w:style>
  <w:style w:type="paragraph" w:styleId="Akapitzlist">
    <w:name w:val="List Paragraph"/>
    <w:basedOn w:val="Normalny"/>
    <w:uiPriority w:val="34"/>
    <w:qFormat/>
    <w:rsid w:val="00E87D4C"/>
    <w:pPr>
      <w:ind w:left="720"/>
      <w:contextualSpacing/>
    </w:pPr>
  </w:style>
  <w:style w:type="character" w:styleId="Hipercze">
    <w:name w:val="Hyperlink"/>
    <w:basedOn w:val="Domylnaczcionkaakapitu"/>
    <w:uiPriority w:val="99"/>
    <w:unhideWhenUsed/>
    <w:rsid w:val="00E87D4C"/>
    <w:rPr>
      <w:color w:val="0563C1" w:themeColor="hyperlink"/>
      <w:u w:val="single"/>
    </w:rPr>
  </w:style>
  <w:style w:type="character" w:styleId="Nierozpoznanawzmianka">
    <w:name w:val="Unresolved Mention"/>
    <w:basedOn w:val="Domylnaczcionkaakapitu"/>
    <w:uiPriority w:val="99"/>
    <w:semiHidden/>
    <w:unhideWhenUsed/>
    <w:rsid w:val="00E87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chini-muszyna.pl/zrodl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utritiondata.self.com/" TargetMode="External"/><Relationship Id="rId5" Type="http://schemas.openxmlformats.org/officeDocument/2006/relationships/hyperlink" Target="https://health.gov/dietaryguidelines/2015-scientific-report/06-chapter-1/d1-11.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808</Words>
  <Characters>4848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3</cp:revision>
  <dcterms:created xsi:type="dcterms:W3CDTF">2019-04-05T08:16:00Z</dcterms:created>
  <dcterms:modified xsi:type="dcterms:W3CDTF">2019-04-05T08:48:00Z</dcterms:modified>
</cp:coreProperties>
</file>